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5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COLEGIO COLSUBSIDIO CHICALÁ</w:t>
      </w: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ÁREA DE HUMANIDADES LENGUA CASTELLANA</w:t>
      </w: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TALLER DE REFUERZO Y/O RECUPERACIÓN</w:t>
      </w: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SEMANA 12 AL 15 DE NOVIEMBRE</w:t>
      </w: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TERCER TRIMESTRE</w:t>
      </w: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1176" w:rsidRPr="001B1BAD" w:rsidRDefault="00021176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Las actividades que se presentan a continuación buscan reforzar las temáticas vistas en el tercer trimestre</w:t>
      </w:r>
      <w:r w:rsidR="00466AC7" w:rsidRPr="001B1BAD">
        <w:rPr>
          <w:rFonts w:ascii="Arial" w:hAnsi="Arial" w:cs="Arial"/>
          <w:b/>
          <w:sz w:val="24"/>
          <w:szCs w:val="24"/>
        </w:rPr>
        <w:t xml:space="preserve"> </w:t>
      </w:r>
    </w:p>
    <w:p w:rsidR="00466AC7" w:rsidRPr="001B1BAD" w:rsidRDefault="00466AC7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AC7" w:rsidRPr="001B1BAD" w:rsidRDefault="00466AC7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PUBLICIDAD</w:t>
      </w:r>
    </w:p>
    <w:p w:rsidR="00466AC7" w:rsidRPr="001B1BAD" w:rsidRDefault="00466AC7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AC7" w:rsidRPr="001B1BAD" w:rsidRDefault="00466AC7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Creación de una campaña publicitaria: La propuesta es que se conviertan en publicistas y desarrollen una campaña de promoción de un producto, para eso es necesario que se remitan al</w:t>
      </w:r>
      <w:r w:rsidR="00F95312" w:rsidRPr="001B1BAD">
        <w:rPr>
          <w:rFonts w:ascii="Arial" w:hAnsi="Arial" w:cs="Arial"/>
          <w:sz w:val="24"/>
          <w:szCs w:val="24"/>
        </w:rPr>
        <w:t xml:space="preserve"> Libro Lenguaje y Comunicación </w:t>
      </w:r>
      <w:r w:rsidRPr="001B1BAD">
        <w:rPr>
          <w:rFonts w:ascii="Arial" w:hAnsi="Arial" w:cs="Arial"/>
          <w:sz w:val="24"/>
          <w:szCs w:val="24"/>
        </w:rPr>
        <w:t xml:space="preserve"> 9, página 104. Deben escribir paso a paso lo que pretenden vender, quién es el comprador, por qué se necesita el producto, adónde se va a mostrar la campaña, cómo serán los anuncios, cuándo se va a realizar la campaña, cuánto va a costar la campaña. </w:t>
      </w:r>
    </w:p>
    <w:p w:rsidR="00466AC7" w:rsidRPr="001B1BAD" w:rsidRDefault="00466AC7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66AC7" w:rsidRPr="001B1BAD" w:rsidRDefault="007F5D22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 Los anuncios publicitarios presentan diferentes recursos lingüísticos, analiza las siguientes imágenes, explique qué figuras se evidencian en cada imagen</w:t>
      </w:r>
      <w:r w:rsidR="00E456F4" w:rsidRPr="001B1BAD">
        <w:rPr>
          <w:rFonts w:ascii="Arial" w:hAnsi="Arial" w:cs="Arial"/>
          <w:sz w:val="24"/>
          <w:szCs w:val="24"/>
        </w:rPr>
        <w:t xml:space="preserve"> y cuál es el producto que se pretende vender.</w:t>
      </w: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733550" cy="2314575"/>
            <wp:effectExtent l="19050" t="0" r="0" b="0"/>
            <wp:docPr id="1" name="Imagen 1" descr="Metafora_spenc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Metafora_spencer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AD">
        <w:rPr>
          <w:rFonts w:ascii="Arial" w:hAnsi="Arial" w:cs="Arial"/>
          <w:b/>
          <w:sz w:val="24"/>
          <w:szCs w:val="24"/>
        </w:rPr>
        <w:t xml:space="preserve"> </w:t>
      </w:r>
      <w:r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704975" cy="2314575"/>
            <wp:effectExtent l="19050" t="0" r="9525" b="0"/>
            <wp:docPr id="2" name="Imagen 2" descr="Metafora_sho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Metafora_shoes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AD">
        <w:rPr>
          <w:rFonts w:ascii="Arial" w:hAnsi="Arial" w:cs="Arial"/>
          <w:b/>
          <w:sz w:val="24"/>
          <w:szCs w:val="24"/>
        </w:rPr>
        <w:t xml:space="preserve"> </w:t>
      </w:r>
      <w:r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628775" cy="2311400"/>
            <wp:effectExtent l="19050" t="0" r="9525" b="0"/>
            <wp:docPr id="4" name="Imagen 4" descr="051209_1909_laretricad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051209_1909_laretricad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981200" cy="1646988"/>
            <wp:effectExtent l="19050" t="0" r="0" b="0"/>
            <wp:docPr id="3" name="Imagen 3" descr="051209_1909_laretrica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051209_1909_laretricad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84" t="13351" r="660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3" cy="164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AD">
        <w:rPr>
          <w:rFonts w:ascii="Arial" w:hAnsi="Arial" w:cs="Arial"/>
          <w:b/>
          <w:sz w:val="24"/>
          <w:szCs w:val="24"/>
        </w:rPr>
        <w:t xml:space="preserve">  </w:t>
      </w:r>
      <w:r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409700" cy="1638300"/>
            <wp:effectExtent l="19050" t="0" r="0" b="0"/>
            <wp:docPr id="5" name="Imagen 5" descr="769244959_386bc05b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769244959_386bc05b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54" cy="163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AD">
        <w:rPr>
          <w:rFonts w:ascii="Arial" w:hAnsi="Arial" w:cs="Arial"/>
          <w:b/>
          <w:sz w:val="24"/>
          <w:szCs w:val="24"/>
        </w:rPr>
        <w:t xml:space="preserve"> </w:t>
      </w:r>
      <w:r w:rsidR="001B1BAD" w:rsidRPr="001B1BAD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114425" cy="2009775"/>
            <wp:effectExtent l="19050" t="0" r="9525" b="0"/>
            <wp:docPr id="12" name="Imagen 7" descr="[waitress-adotw.jpg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[waitress-adotw.jpg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31" cy="200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F4" w:rsidRPr="001B1BAD" w:rsidRDefault="001B1BAD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2695575" cy="1514474"/>
            <wp:effectExtent l="19050" t="0" r="9525" b="0"/>
            <wp:docPr id="10" name="Imagen 6" descr="an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5" descr="an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55" cy="15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5D22" w:rsidRPr="001B1BAD" w:rsidRDefault="007F5D2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5D22" w:rsidRPr="001B1BAD" w:rsidRDefault="007F5D2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5D22" w:rsidRPr="001B1BAD" w:rsidRDefault="00E456F4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Señala las figuras de los siguientes eslóganes (pueden aparecer varias simultáneamente). Escribe otros eslóganes actuales.</w:t>
      </w: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56F4" w:rsidRPr="001B1BAD" w:rsidRDefault="00E456F4" w:rsidP="001B1BAD">
      <w:pPr>
        <w:pStyle w:val="Prrafodelista"/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Con fórmula </w:t>
      </w:r>
      <w:proofErr w:type="spellStart"/>
      <w:r w:rsidRPr="001B1BAD">
        <w:rPr>
          <w:rFonts w:ascii="Arial" w:hAnsi="Arial" w:cs="Arial"/>
          <w:sz w:val="24"/>
          <w:szCs w:val="24"/>
        </w:rPr>
        <w:t>lipoactiva</w:t>
      </w:r>
      <w:proofErr w:type="spellEnd"/>
    </w:p>
    <w:p w:rsidR="00E456F4" w:rsidRPr="001B1BAD" w:rsidRDefault="00E456F4" w:rsidP="001B1BAD">
      <w:pPr>
        <w:pStyle w:val="Prrafodelista"/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El color se oye mejor</w:t>
      </w:r>
    </w:p>
    <w:p w:rsidR="00E456F4" w:rsidRPr="001B1BAD" w:rsidRDefault="00E456F4" w:rsidP="001B1BAD">
      <w:pPr>
        <w:pStyle w:val="Prrafodelista"/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Mi marido es un encanto a pesar de ese problema con los pies.</w:t>
      </w:r>
    </w:p>
    <w:p w:rsidR="00E456F4" w:rsidRPr="001B1BAD" w:rsidRDefault="00E456F4" w:rsidP="001B1BAD">
      <w:pPr>
        <w:pStyle w:val="Prrafodelista"/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Una nueva vivienda para una nueva vida.</w:t>
      </w:r>
    </w:p>
    <w:p w:rsidR="00E456F4" w:rsidRPr="001B1BAD" w:rsidRDefault="00E456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56F4" w:rsidRPr="001B1BAD" w:rsidRDefault="007C62C4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unidad # 5 del c</w:t>
      </w:r>
      <w:r w:rsidR="00F95312" w:rsidRPr="001B1BAD">
        <w:rPr>
          <w:rFonts w:ascii="Arial" w:hAnsi="Arial" w:cs="Arial"/>
          <w:sz w:val="24"/>
          <w:szCs w:val="24"/>
        </w:rPr>
        <w:t xml:space="preserve">uaderno de comprensión lectora </w:t>
      </w:r>
      <w:r w:rsidRPr="001B1BAD">
        <w:rPr>
          <w:rFonts w:ascii="Arial" w:hAnsi="Arial" w:cs="Arial"/>
          <w:sz w:val="24"/>
          <w:szCs w:val="24"/>
        </w:rPr>
        <w:t xml:space="preserve"> 9. Páginas 24 a la 27. (se resuelve en la cartilla, los estudiantes que no tengan la cartilla deberán copiar pregunta y respuesta).</w:t>
      </w:r>
    </w:p>
    <w:p w:rsidR="007C62C4" w:rsidRPr="001B1BAD" w:rsidRDefault="007C62C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TEXTO ARGUMENTATIVO</w:t>
      </w: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62C4" w:rsidRPr="001B1BAD" w:rsidRDefault="008434AF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Responder las siguientes preguntas</w:t>
      </w:r>
    </w:p>
    <w:p w:rsidR="008434AF" w:rsidRPr="001B1BAD" w:rsidRDefault="008434AF" w:rsidP="001B1BA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¿Qué es un argumento?</w:t>
      </w:r>
    </w:p>
    <w:p w:rsidR="008434AF" w:rsidRPr="001B1BAD" w:rsidRDefault="008434AF" w:rsidP="001B1BA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¿Qué es un texto argumentativo?</w:t>
      </w:r>
    </w:p>
    <w:p w:rsidR="008434AF" w:rsidRPr="001B1BAD" w:rsidRDefault="008434AF" w:rsidP="001B1BA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¿Cuál es la INTENCIÓN de un texto argumentativo?</w:t>
      </w:r>
    </w:p>
    <w:p w:rsidR="008434AF" w:rsidRPr="001B1BAD" w:rsidRDefault="008434AF" w:rsidP="001B1BA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¿Cuál es la estructura y los elementos de un texto argumentativo?</w:t>
      </w:r>
    </w:p>
    <w:p w:rsidR="008434AF" w:rsidRPr="001B1BAD" w:rsidRDefault="008434AF" w:rsidP="001B1BA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¿Qué tipos de argumentos conoce?</w:t>
      </w: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8434AF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Teniendo en cuenta la siguiente información, realice un MAPA CONCEPTUAL.</w:t>
      </w: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Un TEXTO ARGUMENTATIVO es aquel que intenta convencer, modificar o, en ocasiones, reforzar la opinión del receptor, del destinatario del texto, mediante razones que sean aceptables, fuertes y capaces de resistir las razones en contra (contra argumentos).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ESTRUCTURA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TESIS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Es la idea que se pretende defender o rebatir 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Una buena tesis debe: ceñirse al tema, es decir, tener un alcance limitado (un tema muy amplio es difícil de desarrollar). Se debe formular  de forma afirmativa, evitando palabras cliché, metáforas y puntos de vista sin importancia.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ARGUMENTOS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lastRenderedPageBreak/>
        <w:t>Son las razones que apoyan la tesis.  Es importante elegir bien los argumentos, ya que un argumento mal formulado invalida la tesis.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Debemos formularlos por orden de importancia y no olvidar poner ejemplos adecuados. Es importante, también, no olvidar los contra argumentos que se pueden oponer a nuestro razonamiento.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ARGUMENTOS</w:t>
      </w:r>
    </w:p>
    <w:p w:rsidR="008434AF" w:rsidRPr="001B1BAD" w:rsidRDefault="008434AF" w:rsidP="001B1B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AUTORIDAD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En él se citan las palabras de estudiosos, expertos, organizaciones de probada credibilidad que manifiestan una opinión semejante a la que estamos defendiendo.</w:t>
      </w:r>
    </w:p>
    <w:p w:rsidR="008434AF" w:rsidRPr="001B1BAD" w:rsidRDefault="008434AF" w:rsidP="001B1B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CONOCIMIENTO GENERAL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Se defiende una idea que es ampliamente aceptada por nuestra sociedad (suponiendo con esto que la mayoría no se  equivoca lo que lleva en muchos casos a formular lo que llamamos tópicos) o saberes que la sociedad ha admitido como válidos (presuposiciones).</w:t>
      </w:r>
    </w:p>
    <w:p w:rsidR="008434AF" w:rsidRPr="001B1BAD" w:rsidRDefault="008434AF" w:rsidP="001B1B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CAUSA-EFECTO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Se presentan las razones de un hecho probando las causas (éstas deben tener un cierto rigor científico).</w:t>
      </w:r>
    </w:p>
    <w:p w:rsidR="008434AF" w:rsidRPr="001B1BAD" w:rsidRDefault="008434AF" w:rsidP="001B1B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AFECTIVO-EMOTIVO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El emisor hace uso de recursos con los que intenta conmover al receptor introduciendo efectos de tipo sentimental que provoquen compasión o benevolencia hacia los argumentos e ideas expuestas.</w:t>
      </w:r>
    </w:p>
    <w:p w:rsidR="008434AF" w:rsidRPr="001B1BAD" w:rsidRDefault="008434AF" w:rsidP="001B1B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B1BAD">
        <w:rPr>
          <w:rFonts w:ascii="Arial" w:hAnsi="Arial" w:cs="Arial"/>
          <w:b/>
          <w:bCs/>
          <w:sz w:val="24"/>
          <w:szCs w:val="24"/>
        </w:rPr>
        <w:t>DE EXPERIENCIA PERSONAL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El emisor pone sus propias experiencias como razón o argumento. (No es demasiado riguroso y además tiende a ser parcial).</w:t>
      </w:r>
    </w:p>
    <w:p w:rsidR="008434AF" w:rsidRPr="001B1BAD" w:rsidRDefault="008434AF" w:rsidP="001B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CONCLUSIÓN</w:t>
      </w:r>
    </w:p>
    <w:p w:rsidR="008434AF" w:rsidRPr="001B1BAD" w:rsidRDefault="008434AF" w:rsidP="001B1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Es la </w:t>
      </w:r>
      <w:r w:rsidRPr="001B1BAD">
        <w:rPr>
          <w:rFonts w:ascii="Arial" w:hAnsi="Arial" w:cs="Arial"/>
          <w:b/>
          <w:bCs/>
          <w:sz w:val="24"/>
          <w:szCs w:val="24"/>
        </w:rPr>
        <w:t xml:space="preserve">parte final </w:t>
      </w:r>
      <w:r w:rsidRPr="001B1BAD">
        <w:rPr>
          <w:rFonts w:ascii="Arial" w:hAnsi="Arial" w:cs="Arial"/>
          <w:sz w:val="24"/>
          <w:szCs w:val="24"/>
        </w:rPr>
        <w:t>en la que recordamos los puntos más importantes de nuestra argumentación de forma resumida y ordenada para que  los recuerde el receptor y de ese modo consigamos convencerlo.</w:t>
      </w: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8434AF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unidad # 9 del cuaderno de comprensión lectora # 9. Páginas 40 a la 43. (se resuelve en la cartilla, los estudiantes que no tengan la cartilla deberán copiar pregunta y respuesta, algunos estudiantes ya la tienen resuelta NO deben volver a hacerla, solamente deben revisar que se encuentra resuelta de manera coherente).</w:t>
      </w:r>
    </w:p>
    <w:p w:rsidR="008434AF" w:rsidRPr="001B1BAD" w:rsidRDefault="008434AF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3728B3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Leer y resolver los puntos 2, 3, 4, 9 y 10 de la página 206 del libro Lenguaje y comu</w:t>
      </w:r>
      <w:r w:rsidR="00F95312" w:rsidRPr="001B1BAD">
        <w:rPr>
          <w:rFonts w:ascii="Arial" w:hAnsi="Arial" w:cs="Arial"/>
          <w:sz w:val="24"/>
          <w:szCs w:val="24"/>
        </w:rPr>
        <w:t xml:space="preserve">nicación </w:t>
      </w:r>
      <w:r w:rsidRPr="001B1BAD">
        <w:rPr>
          <w:rFonts w:ascii="Arial" w:hAnsi="Arial" w:cs="Arial"/>
          <w:sz w:val="24"/>
          <w:szCs w:val="24"/>
        </w:rPr>
        <w:t xml:space="preserve"> 9.</w:t>
      </w:r>
    </w:p>
    <w:p w:rsidR="003728B3" w:rsidRPr="001B1BAD" w:rsidRDefault="003728B3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34AF" w:rsidRPr="001B1BAD" w:rsidRDefault="00A12B9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¿Podrías explicar situaciones de la vida cotidiana en las que se haga uso de los textos argumentativos para tratar temas controvertidos?</w:t>
      </w:r>
    </w:p>
    <w:p w:rsidR="00A12B96" w:rsidRPr="001B1BAD" w:rsidRDefault="00A12B9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2B96" w:rsidRPr="001B1BAD" w:rsidRDefault="00A12B9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Redactar una reclamación dirigida al director de un colegio argumentando en contra de su resolución de prohibir cualquier tipo de cartel en la institución escolar.</w:t>
      </w:r>
      <w:r w:rsidR="00002F4D" w:rsidRPr="001B1BAD">
        <w:rPr>
          <w:rFonts w:ascii="Arial" w:hAnsi="Arial" w:cs="Arial"/>
          <w:sz w:val="24"/>
          <w:szCs w:val="24"/>
        </w:rPr>
        <w:t xml:space="preserve"> Tener en cuenta la página 192 del</w:t>
      </w:r>
      <w:r w:rsidR="00F95312" w:rsidRPr="001B1BAD">
        <w:rPr>
          <w:rFonts w:ascii="Arial" w:hAnsi="Arial" w:cs="Arial"/>
          <w:sz w:val="24"/>
          <w:szCs w:val="24"/>
        </w:rPr>
        <w:t xml:space="preserve"> libro Lenguaje y comunicación </w:t>
      </w:r>
      <w:r w:rsidR="00002F4D" w:rsidRPr="001B1BAD">
        <w:rPr>
          <w:rFonts w:ascii="Arial" w:hAnsi="Arial" w:cs="Arial"/>
          <w:sz w:val="24"/>
          <w:szCs w:val="24"/>
        </w:rPr>
        <w:t xml:space="preserve"> 9.</w:t>
      </w:r>
    </w:p>
    <w:p w:rsidR="00A12B96" w:rsidRPr="001B1BAD" w:rsidRDefault="00A12B9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02F4D" w:rsidRPr="001B1BAD" w:rsidRDefault="00A12B9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Escribe un recurso contra la negación de una beca a la cual te postulaste. </w:t>
      </w:r>
      <w:r w:rsidR="00002F4D" w:rsidRPr="001B1BAD">
        <w:rPr>
          <w:rFonts w:ascii="Arial" w:hAnsi="Arial" w:cs="Arial"/>
          <w:sz w:val="24"/>
          <w:szCs w:val="24"/>
        </w:rPr>
        <w:t>Tener en cuenta la página 192 del libro Lenguaje y comunicación  9.</w:t>
      </w:r>
    </w:p>
    <w:p w:rsidR="00C0389A" w:rsidRPr="001B1BAD" w:rsidRDefault="00C0389A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0389A" w:rsidRPr="001B1BAD" w:rsidRDefault="00C0389A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lastRenderedPageBreak/>
        <w:t xml:space="preserve">Resolver la ficha  # 18 (Damos argumentos) del libro </w:t>
      </w:r>
      <w:proofErr w:type="spellStart"/>
      <w:r w:rsidRPr="001B1BAD">
        <w:rPr>
          <w:rFonts w:ascii="Arial" w:hAnsi="Arial" w:cs="Arial"/>
          <w:sz w:val="24"/>
          <w:szCs w:val="24"/>
        </w:rPr>
        <w:t>Colotli</w:t>
      </w:r>
      <w:proofErr w:type="spellEnd"/>
      <w:r w:rsidRPr="001B1BAD">
        <w:rPr>
          <w:rFonts w:ascii="Arial" w:hAnsi="Arial" w:cs="Arial"/>
          <w:sz w:val="24"/>
          <w:szCs w:val="24"/>
        </w:rPr>
        <w:t>, página 38. (se resuelve en la cartilla, los estudiantes que no tengan la cartilla deberán copiar pregunta y respuesta).</w:t>
      </w:r>
    </w:p>
    <w:p w:rsidR="00F95312" w:rsidRPr="001B1BAD" w:rsidRDefault="00F9531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Elabore un ensayo sobre algunas actuaciones sociales o políticas que impiden la libertad de expresión.</w:t>
      </w:r>
    </w:p>
    <w:p w:rsidR="00002F4D" w:rsidRPr="001B1BAD" w:rsidRDefault="00002F4D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D37F4" w:rsidRPr="001B1BAD" w:rsidRDefault="006D37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CINE</w:t>
      </w:r>
    </w:p>
    <w:p w:rsidR="006D37F4" w:rsidRPr="001B1BAD" w:rsidRDefault="006D37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2B96" w:rsidRPr="001B1BAD" w:rsidRDefault="006D37F4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Reflexiona en un breve escrito sobre el tiempo de ocio que dedicas al cine: ¿Cuánto tiempo dedicas a ver películas? ¿Dónde prefieres verlas, en las salas de proyección o en casa? ¿por qué? ¿Qué opinas sobre la venta y compra de películas piratas?</w:t>
      </w:r>
    </w:p>
    <w:p w:rsidR="006D37F4" w:rsidRPr="001B1BAD" w:rsidRDefault="006D37F4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D37F4" w:rsidRPr="001B1BAD" w:rsidRDefault="006D37F4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Consulta la página del Ministerio de la Cultura, </w:t>
      </w:r>
      <w:hyperlink r:id="rId12" w:history="1">
        <w:r w:rsidRPr="001B1BAD">
          <w:rPr>
            <w:rStyle w:val="Hipervnculo"/>
            <w:rFonts w:ascii="Arial" w:hAnsi="Arial" w:cs="Arial"/>
            <w:sz w:val="24"/>
            <w:szCs w:val="24"/>
          </w:rPr>
          <w:t>www.mincultura.gov.co</w:t>
        </w:r>
      </w:hyperlink>
      <w:r w:rsidRPr="001B1BAD">
        <w:rPr>
          <w:rFonts w:ascii="Arial" w:hAnsi="Arial" w:cs="Arial"/>
          <w:sz w:val="24"/>
          <w:szCs w:val="24"/>
        </w:rPr>
        <w:t>, busca el link comité de Clasificación de Películas (</w:t>
      </w:r>
      <w:hyperlink r:id="rId13" w:history="1">
        <w:r w:rsidRPr="001B1BAD">
          <w:rPr>
            <w:rStyle w:val="Hipervnculo"/>
            <w:rFonts w:ascii="Arial" w:hAnsi="Arial" w:cs="Arial"/>
            <w:sz w:val="24"/>
            <w:szCs w:val="24"/>
          </w:rPr>
          <w:t>http://www.mincultura.gov.co/areas/cinematografia/noticias/Paginas/2006-04-04_6512.aspx</w:t>
        </w:r>
      </w:hyperlink>
      <w:r w:rsidRPr="001B1BAD">
        <w:rPr>
          <w:rFonts w:ascii="Arial" w:hAnsi="Arial" w:cs="Arial"/>
          <w:sz w:val="24"/>
          <w:szCs w:val="24"/>
        </w:rPr>
        <w:t>) y averigua cuáles son los distintos grupos en los que se clasifican las películas según la edad del público. ¿A qué criterio crees que responde esta división?</w:t>
      </w:r>
    </w:p>
    <w:p w:rsidR="004452B6" w:rsidRPr="001B1BAD" w:rsidRDefault="004452B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52B6" w:rsidRPr="001B1BAD" w:rsidRDefault="004452B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los puntos 1 y 2 de la página 73 del libro Lenguaje y C</w:t>
      </w:r>
      <w:r w:rsidR="00A64DFB" w:rsidRPr="001B1BAD">
        <w:rPr>
          <w:rFonts w:ascii="Arial" w:hAnsi="Arial" w:cs="Arial"/>
          <w:sz w:val="24"/>
          <w:szCs w:val="24"/>
        </w:rPr>
        <w:t xml:space="preserve">omunicación </w:t>
      </w:r>
      <w:r w:rsidRPr="001B1BAD">
        <w:rPr>
          <w:rFonts w:ascii="Arial" w:hAnsi="Arial" w:cs="Arial"/>
          <w:sz w:val="24"/>
          <w:szCs w:val="24"/>
        </w:rPr>
        <w:t>9.</w:t>
      </w:r>
    </w:p>
    <w:p w:rsidR="004452B6" w:rsidRPr="001B1BAD" w:rsidRDefault="004452B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52B6" w:rsidRPr="001B1BAD" w:rsidRDefault="004452B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los puntos 8, 9 y 10 de la página 78 del</w:t>
      </w:r>
      <w:r w:rsidR="00A64DFB" w:rsidRPr="001B1BAD">
        <w:rPr>
          <w:rFonts w:ascii="Arial" w:hAnsi="Arial" w:cs="Arial"/>
          <w:sz w:val="24"/>
          <w:szCs w:val="24"/>
        </w:rPr>
        <w:t xml:space="preserve"> libro Lenguaje y comunicación </w:t>
      </w:r>
      <w:r w:rsidRPr="001B1BAD">
        <w:rPr>
          <w:rFonts w:ascii="Arial" w:hAnsi="Arial" w:cs="Arial"/>
          <w:sz w:val="24"/>
          <w:szCs w:val="24"/>
        </w:rPr>
        <w:t xml:space="preserve"> 9. </w:t>
      </w:r>
    </w:p>
    <w:p w:rsidR="004452B6" w:rsidRPr="001B1BAD" w:rsidRDefault="004452B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52B6" w:rsidRPr="001B1BAD" w:rsidRDefault="004452B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unidad # 4 del cuaderno de comprensión lectora # 9. Páginas 20 a la 23. (se resuelve en la cartilla, los estudiantes que no tengan la cartilla deberán copiar pregunta y respuesta).</w:t>
      </w:r>
    </w:p>
    <w:p w:rsidR="004452B6" w:rsidRPr="001B1BAD" w:rsidRDefault="004452B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52B6" w:rsidRPr="001B1BAD" w:rsidRDefault="004452B6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unidad # 1 del cuaderno de comprensión lectora # 9. Páginas 8 a la11. (se resuelve en la cartilla, los estudiantes que no tengan la cartilla deberán copiar pregunta y respuesta).</w:t>
      </w:r>
    </w:p>
    <w:p w:rsidR="00B10058" w:rsidRPr="001B1BAD" w:rsidRDefault="00B10058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0058" w:rsidRPr="001B1BAD" w:rsidRDefault="00B10058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BOOM LATINOAMERICANO</w:t>
      </w:r>
    </w:p>
    <w:p w:rsidR="004452B6" w:rsidRPr="001B1BAD" w:rsidRDefault="004452B6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52B6" w:rsidRPr="001B1BAD" w:rsidRDefault="00A64DFB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los puntos # 7, 8, 9, 10 y 11 de la página 230 del libro Lenguaje y Comunicación 9.</w:t>
      </w:r>
    </w:p>
    <w:p w:rsidR="00F95312" w:rsidRPr="001B1BAD" w:rsidRDefault="00F9531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HISTORIETA Y COMIC</w:t>
      </w:r>
    </w:p>
    <w:p w:rsidR="00F95312" w:rsidRPr="001B1BAD" w:rsidRDefault="00F95312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>Resolver los puntos 1, 2, 5, 6, y 10 de la página 142 del libro Lenguaje y comunicación 9.</w:t>
      </w:r>
    </w:p>
    <w:p w:rsidR="003E0B0A" w:rsidRPr="001B1BAD" w:rsidRDefault="003E0B0A" w:rsidP="001B1BA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E0B0A" w:rsidRPr="001B1BAD" w:rsidRDefault="003E0B0A" w:rsidP="001B1BA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sz w:val="24"/>
          <w:szCs w:val="24"/>
        </w:rPr>
        <w:t xml:space="preserve">Realiza un comic de 10 viñetas cuyo protagonista sea usted y el escenario es el Colegio Colsubsidio </w:t>
      </w:r>
      <w:r w:rsidR="001B1BAD" w:rsidRPr="001B1BAD">
        <w:rPr>
          <w:rFonts w:ascii="Arial" w:hAnsi="Arial" w:cs="Arial"/>
          <w:sz w:val="24"/>
          <w:szCs w:val="24"/>
        </w:rPr>
        <w:t>Chicalá</w:t>
      </w:r>
      <w:r w:rsidRPr="001B1BAD">
        <w:rPr>
          <w:rFonts w:ascii="Arial" w:hAnsi="Arial" w:cs="Arial"/>
          <w:sz w:val="24"/>
          <w:szCs w:val="24"/>
        </w:rPr>
        <w:t>.</w:t>
      </w: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>NOTA:</w:t>
      </w: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5312" w:rsidRPr="001B1BAD" w:rsidRDefault="00F95312" w:rsidP="001B1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1BAD">
        <w:rPr>
          <w:rFonts w:ascii="Arial" w:hAnsi="Arial" w:cs="Arial"/>
          <w:b/>
          <w:sz w:val="24"/>
          <w:szCs w:val="24"/>
        </w:rPr>
        <w:t xml:space="preserve">Los estudiantes que deben presentar el taller como recuperación lo deberán entregar en hojas blancas escritas  por ambas caras, con letra legible y a </w:t>
      </w:r>
      <w:proofErr w:type="spellStart"/>
      <w:r w:rsidRPr="001B1BAD">
        <w:rPr>
          <w:rFonts w:ascii="Arial" w:hAnsi="Arial" w:cs="Arial"/>
          <w:b/>
          <w:sz w:val="24"/>
          <w:szCs w:val="24"/>
        </w:rPr>
        <w:t>esfero</w:t>
      </w:r>
      <w:proofErr w:type="spellEnd"/>
      <w:r w:rsidRPr="001B1BAD">
        <w:rPr>
          <w:rFonts w:ascii="Arial" w:hAnsi="Arial" w:cs="Arial"/>
          <w:b/>
          <w:sz w:val="24"/>
          <w:szCs w:val="24"/>
        </w:rPr>
        <w:t xml:space="preserve"> de tinta negra. Todos los estudiantes deberán estar trabajando de manera individual, no se permite trabajo en grupo.</w:t>
      </w:r>
      <w:r w:rsidR="003E0B0A" w:rsidRPr="001B1BAD">
        <w:rPr>
          <w:rFonts w:ascii="Arial" w:hAnsi="Arial" w:cs="Arial"/>
          <w:b/>
          <w:sz w:val="24"/>
          <w:szCs w:val="24"/>
        </w:rPr>
        <w:t xml:space="preserve"> Para validar el trabajo se estará revisando y sellando todos los días, La fecha final de entrega es el día 15 de noviembre a la hora de clase. </w:t>
      </w:r>
    </w:p>
    <w:sectPr w:rsidR="00F95312" w:rsidRPr="001B1BAD" w:rsidSect="001B1BAD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917"/>
    <w:multiLevelType w:val="hybridMultilevel"/>
    <w:tmpl w:val="ECE6B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A0AE758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72BE3"/>
    <w:multiLevelType w:val="hybridMultilevel"/>
    <w:tmpl w:val="8514E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176"/>
    <w:rsid w:val="00002F4D"/>
    <w:rsid w:val="00021176"/>
    <w:rsid w:val="00176956"/>
    <w:rsid w:val="001B1BAD"/>
    <w:rsid w:val="003728B3"/>
    <w:rsid w:val="003E0B0A"/>
    <w:rsid w:val="004448ED"/>
    <w:rsid w:val="004452B6"/>
    <w:rsid w:val="00466AC7"/>
    <w:rsid w:val="006D37F4"/>
    <w:rsid w:val="007C62C4"/>
    <w:rsid w:val="007F5D22"/>
    <w:rsid w:val="008434AF"/>
    <w:rsid w:val="00A12B96"/>
    <w:rsid w:val="00A64DFB"/>
    <w:rsid w:val="00B10058"/>
    <w:rsid w:val="00C0389A"/>
    <w:rsid w:val="00E456F4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A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3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incultura.gov.co/areas/cinematografia/noticias/Paginas/2006-04-04_6512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ncultur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15</cp:revision>
  <dcterms:created xsi:type="dcterms:W3CDTF">2013-11-10T22:11:00Z</dcterms:created>
  <dcterms:modified xsi:type="dcterms:W3CDTF">2013-11-11T01:17:00Z</dcterms:modified>
</cp:coreProperties>
</file>